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CE39B">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16</w:t>
      </w:r>
      <w:r>
        <w:rPr>
          <w:rFonts w:hint="eastAsia" w:ascii="Arial" w:hAnsi="Arial" w:eastAsia="宋体" w:cs="Arial"/>
          <w:b/>
          <w:lang w:val="en-US" w:eastAsia="zh-CN"/>
        </w:rPr>
        <w:tab/>
      </w:r>
      <w:r>
        <w:rPr>
          <w:rFonts w:ascii="Arial" w:hAnsi="Arial" w:cs="Arial"/>
          <w:b/>
          <w:bCs/>
        </w:rPr>
        <w:t xml:space="preserve">    </w:t>
      </w:r>
      <w:r>
        <w:rPr>
          <w:rFonts w:ascii="Arial" w:hAnsi="Arial" w:cs="Arial"/>
          <w:b/>
          <w:bCs/>
        </w:rPr>
        <w:tab/>
      </w:r>
      <w:bookmarkStart w:id="0" w:name="_Hlk41145946"/>
      <w:r>
        <w:rPr>
          <w:rFonts w:ascii="Arial" w:hAnsi="Arial" w:cs="Arial"/>
          <w:b/>
          <w:bCs/>
        </w:rPr>
        <w:t>R4-2</w:t>
      </w:r>
      <w:bookmarkEnd w:id="0"/>
      <w:r>
        <w:rPr>
          <w:rFonts w:hint="eastAsia" w:ascii="Arial" w:hAnsi="Arial" w:eastAsia="宋体" w:cs="Arial"/>
          <w:b/>
          <w:bCs/>
          <w:lang w:val="en-US" w:eastAsia="zh-CN"/>
        </w:rPr>
        <w:t>510023</w:t>
      </w:r>
      <w:bookmarkStart w:id="8" w:name="_GoBack"/>
      <w:bookmarkEnd w:id="8"/>
    </w:p>
    <w:p w14:paraId="4C516185">
      <w:pPr>
        <w:pStyle w:val="15"/>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1DFAFB79">
      <w:pPr>
        <w:tabs>
          <w:tab w:val="left" w:pos="1985"/>
        </w:tabs>
        <w:rPr>
          <w:b/>
          <w:sz w:val="22"/>
        </w:rPr>
      </w:pPr>
    </w:p>
    <w:p w14:paraId="7A3F2F22">
      <w:pPr>
        <w:tabs>
          <w:tab w:val="left" w:pos="1765"/>
          <w:tab w:val="center" w:pos="4557"/>
        </w:tabs>
        <w:rPr>
          <w:rFonts w:hint="default" w:eastAsia="宋体"/>
          <w:b/>
          <w:sz w:val="22"/>
          <w:lang w:val="en-US" w:eastAsia="zh-CN"/>
        </w:rPr>
      </w:pPr>
      <w:r>
        <w:rPr>
          <w:b/>
          <w:sz w:val="22"/>
        </w:rPr>
        <w:t>A</w:t>
      </w:r>
      <w:r>
        <w:rPr>
          <w:b/>
          <w:sz w:val="22"/>
          <w:highlight w:val="none"/>
        </w:rPr>
        <w:t>genda Item:</w:t>
      </w:r>
      <w:r>
        <w:rPr>
          <w:b/>
          <w:sz w:val="22"/>
          <w:highlight w:val="none"/>
        </w:rPr>
        <w:tab/>
      </w:r>
      <w:r>
        <w:rPr>
          <w:rFonts w:hint="eastAsia" w:eastAsia="宋体"/>
          <w:sz w:val="22"/>
          <w:highlight w:val="none"/>
          <w:lang w:val="en-US" w:eastAsia="zh-CN"/>
        </w:rPr>
        <w:t>7.13.4</w:t>
      </w:r>
    </w:p>
    <w:p w14:paraId="56580992">
      <w:pPr>
        <w:tabs>
          <w:tab w:val="left" w:pos="1765"/>
        </w:tabs>
        <w:rPr>
          <w:sz w:val="22"/>
        </w:rPr>
      </w:pPr>
      <w:r>
        <w:rPr>
          <w:b/>
          <w:sz w:val="22"/>
        </w:rPr>
        <w:t xml:space="preserve">Source: </w:t>
      </w:r>
      <w:r>
        <w:rPr>
          <w:b/>
          <w:sz w:val="22"/>
        </w:rPr>
        <w:tab/>
      </w:r>
      <w:bookmarkStart w:id="1" w:name="_Hlk41145958"/>
      <w:r>
        <w:rPr>
          <w:sz w:val="22"/>
        </w:rPr>
        <w:t>CMCC</w:t>
      </w:r>
      <w:bookmarkEnd w:id="1"/>
    </w:p>
    <w:p w14:paraId="617B37A8">
      <w:pPr>
        <w:rPr>
          <w:sz w:val="22"/>
        </w:rPr>
      </w:pPr>
      <w:r>
        <w:rPr>
          <w:b/>
          <w:sz w:val="22"/>
        </w:rPr>
        <w:t xml:space="preserve">Title: </w:t>
      </w:r>
      <w:r>
        <w:rPr>
          <w:b/>
          <w:sz w:val="22"/>
        </w:rPr>
        <w:tab/>
      </w:r>
      <w:r>
        <w:rPr>
          <w:b/>
          <w:sz w:val="22"/>
        </w:rPr>
        <w:tab/>
      </w:r>
      <w:bookmarkStart w:id="2" w:name="OLE_LINK7"/>
      <w:bookmarkStart w:id="3" w:name="OLE_LINK8"/>
      <w:r>
        <w:rPr>
          <w:rFonts w:hint="eastAsia" w:eastAsia="宋体"/>
          <w:b/>
          <w:sz w:val="22"/>
          <w:lang w:val="en-US" w:eastAsia="zh-CN"/>
        </w:rPr>
        <w:t xml:space="preserve">     </w:t>
      </w:r>
      <w:r>
        <w:rPr>
          <w:rFonts w:hint="eastAsia" w:eastAsia="宋体"/>
          <w:sz w:val="22"/>
          <w:lang w:val="en-US" w:eastAsia="zh-CN"/>
        </w:rPr>
        <w:t xml:space="preserve">Discussion on BS demodulation requirements for MMSE-IRC receiver </w:t>
      </w:r>
    </w:p>
    <w:bookmarkEnd w:id="2"/>
    <w:bookmarkEnd w:id="3"/>
    <w:p w14:paraId="78A086B9">
      <w:pPr>
        <w:tabs>
          <w:tab w:val="left" w:pos="1765"/>
        </w:tabs>
        <w:rPr>
          <w:sz w:val="22"/>
        </w:rPr>
      </w:pPr>
      <w:r>
        <w:rPr>
          <w:b/>
          <w:sz w:val="22"/>
        </w:rPr>
        <w:t>Document for:</w:t>
      </w:r>
      <w:r>
        <w:rPr>
          <w:b/>
          <w:sz w:val="22"/>
        </w:rPr>
        <w:tab/>
      </w:r>
      <w:r>
        <w:rPr>
          <w:sz w:val="22"/>
        </w:rPr>
        <w:t>Discussion</w:t>
      </w:r>
    </w:p>
    <w:p w14:paraId="0605AC85">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C59E4D9">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last meeting, RAN4 further discussed simulation assumptions for BS with MMSE-IRC receiver, the WF has been approved in [1]. In this contribution, we further discuss the test applicability and the interference covariance matrix estimation methodology.</w:t>
      </w:r>
    </w:p>
    <w:p w14:paraId="760D84E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4" w:name="OLE_LINK1"/>
      <w:bookmarkStart w:id="5" w:name="OLE_LINK2"/>
      <w:r>
        <w:rPr>
          <w:rFonts w:hint="eastAsia" w:ascii="Times New Roman" w:hAnsi="Times New Roman" w:eastAsia="宋体"/>
          <w:b w:val="0"/>
          <w:bCs w:val="0"/>
          <w:kern w:val="0"/>
          <w:sz w:val="36"/>
          <w:szCs w:val="36"/>
          <w:lang w:val="en-US" w:eastAsia="zh-CN"/>
        </w:rPr>
        <w:t>Discussion</w:t>
      </w:r>
    </w:p>
    <w:p w14:paraId="3C6D57B4">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rPr>
      </w:pPr>
      <w:bookmarkStart w:id="6" w:name="_Hlk190969834"/>
      <w:bookmarkStart w:id="7" w:name="_Hlk70326378"/>
      <w:r>
        <w:rPr>
          <w:rFonts w:hint="eastAsia"/>
          <w:b/>
          <w:i/>
          <w:iCs/>
          <w:sz w:val="20"/>
          <w:szCs w:val="20"/>
          <w:u w:val="single"/>
          <w:lang w:val="en-US"/>
        </w:rPr>
        <w:t>MMSE-IRC receiver assumption - estimation of interference covariance matrix</w:t>
      </w:r>
    </w:p>
    <w:p w14:paraId="08DEF31C">
      <w:pPr>
        <w:keepNext w:val="0"/>
        <w:keepLines w:val="0"/>
        <w:pageBreakBefore w:val="0"/>
        <w:widowControl/>
        <w:numPr>
          <w:ilvl w:val="0"/>
          <w:numId w:val="4"/>
        </w:numPr>
        <w:kinsoku/>
        <w:wordWrap/>
        <w:overflowPunct/>
        <w:topLinePunct w:val="0"/>
        <w:autoSpaceDE/>
        <w:autoSpaceDN/>
        <w:bidi w:val="0"/>
        <w:adjustRightInd/>
        <w:snapToGrid/>
        <w:spacing w:before="60" w:after="60"/>
        <w:ind w:left="284" w:hanging="284"/>
        <w:textAlignment w:val="auto"/>
        <w:rPr>
          <w:i/>
          <w:iCs/>
          <w:sz w:val="20"/>
          <w:szCs w:val="20"/>
        </w:rPr>
      </w:pPr>
      <w:r>
        <w:rPr>
          <w:i/>
          <w:iCs/>
          <w:sz w:val="20"/>
          <w:szCs w:val="20"/>
          <w:lang w:val="en-US"/>
        </w:rPr>
        <w:t>RAN4 agree that</w:t>
      </w:r>
      <w:r>
        <w:rPr>
          <w:i/>
          <w:iCs/>
          <w:sz w:val="20"/>
          <w:szCs w:val="20"/>
        </w:rPr>
        <w:t xml:space="preserve"> MMSE-IRC receiver assumption is not going to be captured in the RAN4 spec</w:t>
      </w:r>
    </w:p>
    <w:p w14:paraId="11EA4856">
      <w:pPr>
        <w:keepNext w:val="0"/>
        <w:keepLines w:val="0"/>
        <w:pageBreakBefore w:val="0"/>
        <w:widowControl/>
        <w:numPr>
          <w:ilvl w:val="0"/>
          <w:numId w:val="4"/>
        </w:numPr>
        <w:kinsoku/>
        <w:wordWrap/>
        <w:overflowPunct/>
        <w:topLinePunct w:val="0"/>
        <w:autoSpaceDE/>
        <w:autoSpaceDN/>
        <w:bidi w:val="0"/>
        <w:adjustRightInd/>
        <w:snapToGrid/>
        <w:spacing w:before="60" w:after="60"/>
        <w:ind w:left="284" w:hanging="284"/>
        <w:textAlignment w:val="auto"/>
        <w:rPr>
          <w:i/>
          <w:iCs/>
          <w:sz w:val="20"/>
          <w:szCs w:val="20"/>
        </w:rPr>
      </w:pPr>
      <w:r>
        <w:rPr>
          <w:i/>
          <w:iCs/>
          <w:sz w:val="20"/>
          <w:szCs w:val="20"/>
          <w:lang w:eastAsia="zh-CN"/>
        </w:rPr>
        <w:t>There is no consensus whether to modify the previously agreed MMSE-IRC receiver assumption.</w:t>
      </w:r>
    </w:p>
    <w:p w14:paraId="3FA394EF">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The previous agreed MMSE-IRC receiver assumption is to use the DMRS REs to derive the interference covariance matrix. Considering the power boosting between DMRS RE and PUSCH RE, the SNR will be misaligned between DMRS and PUSCH.</w:t>
      </w:r>
    </w:p>
    <w:p w14:paraId="7F9E65C9">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zh-CN"/>
        </w:rPr>
        <w:t xml:space="preserve">Considering that whether the power boosting exists and how to configure the CDM group are all decided by gNB. Therefore, we think it is reasonable for gNB to use both all REs on DMRS symbol to derive the interference covariance matrix when CDM group 2 and -3dB power ratio of PUSCH EPRE to DM-RS EPRE are configured. We will further update our simulation results based on new MMSE-IRC algorithm. </w:t>
      </w:r>
    </w:p>
    <w:p w14:paraId="0906D021">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rPr>
      </w:pPr>
    </w:p>
    <w:p w14:paraId="2D48D09D">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rPr>
      </w:pPr>
      <w:r>
        <w:rPr>
          <w:rFonts w:hint="eastAsia"/>
          <w:b/>
          <w:i/>
          <w:iCs/>
          <w:sz w:val="20"/>
          <w:szCs w:val="20"/>
          <w:u w:val="single"/>
        </w:rPr>
        <w:t>Whether to consider additional applicability rule on how the test is performed</w:t>
      </w:r>
    </w:p>
    <w:p w14:paraId="0A3B0228">
      <w:pPr>
        <w:keepNext w:val="0"/>
        <w:keepLines w:val="0"/>
        <w:pageBreakBefore w:val="0"/>
        <w:widowControl/>
        <w:numPr>
          <w:ilvl w:val="0"/>
          <w:numId w:val="4"/>
        </w:numPr>
        <w:kinsoku/>
        <w:wordWrap/>
        <w:overflowPunct/>
        <w:topLinePunct w:val="0"/>
        <w:autoSpaceDE/>
        <w:autoSpaceDN/>
        <w:bidi w:val="0"/>
        <w:adjustRightInd/>
        <w:snapToGrid/>
        <w:spacing w:before="60" w:after="60"/>
        <w:ind w:left="284" w:hanging="284"/>
        <w:textAlignment w:val="auto"/>
        <w:rPr>
          <w:i/>
          <w:iCs/>
          <w:sz w:val="20"/>
          <w:szCs w:val="20"/>
        </w:rPr>
      </w:pPr>
      <w:r>
        <w:rPr>
          <w:i/>
          <w:iCs/>
          <w:sz w:val="20"/>
          <w:szCs w:val="20"/>
        </w:rPr>
        <w:t>Option 1: If a BS declared to support Wide Area BS, Medium Range BS and pass the tests for HomNet, the test for HetNet can be skipped</w:t>
      </w:r>
    </w:p>
    <w:p w14:paraId="031FDAD0">
      <w:pPr>
        <w:keepNext w:val="0"/>
        <w:keepLines w:val="0"/>
        <w:pageBreakBefore w:val="0"/>
        <w:widowControl/>
        <w:numPr>
          <w:ilvl w:val="0"/>
          <w:numId w:val="4"/>
        </w:numPr>
        <w:kinsoku/>
        <w:wordWrap/>
        <w:overflowPunct/>
        <w:topLinePunct w:val="0"/>
        <w:autoSpaceDE/>
        <w:autoSpaceDN/>
        <w:bidi w:val="0"/>
        <w:adjustRightInd/>
        <w:snapToGrid/>
        <w:spacing w:before="60" w:after="60"/>
        <w:ind w:left="284" w:hanging="284"/>
        <w:textAlignment w:val="auto"/>
        <w:rPr>
          <w:rFonts w:hint="eastAsia"/>
          <w:b/>
          <w:i/>
          <w:iCs/>
          <w:sz w:val="20"/>
          <w:szCs w:val="20"/>
          <w:u w:val="single"/>
        </w:rPr>
      </w:pPr>
      <w:r>
        <w:rPr>
          <w:i/>
          <w:iCs/>
          <w:sz w:val="20"/>
          <w:szCs w:val="20"/>
        </w:rPr>
        <w:t>Option 2: Not to consider additional applicability rule on how the test is performed for different test scenarios or BS classes.</w:t>
      </w:r>
    </w:p>
    <w:p w14:paraId="4C826C43">
      <w:pPr>
        <w:keepNext w:val="0"/>
        <w:keepLines w:val="0"/>
        <w:pageBreakBefore w:val="0"/>
        <w:widowControl/>
        <w:numPr>
          <w:ilvl w:val="0"/>
          <w:numId w:val="4"/>
        </w:numPr>
        <w:kinsoku/>
        <w:wordWrap/>
        <w:overflowPunct/>
        <w:topLinePunct w:val="0"/>
        <w:autoSpaceDE/>
        <w:autoSpaceDN/>
        <w:bidi w:val="0"/>
        <w:adjustRightInd/>
        <w:snapToGrid/>
        <w:spacing w:before="60" w:after="60"/>
        <w:ind w:left="284" w:hanging="284"/>
        <w:textAlignment w:val="auto"/>
        <w:rPr>
          <w:i/>
          <w:iCs/>
          <w:sz w:val="20"/>
          <w:szCs w:val="20"/>
        </w:rPr>
      </w:pPr>
      <w:r>
        <w:rPr>
          <w:i/>
          <w:iCs/>
          <w:sz w:val="20"/>
          <w:szCs w:val="20"/>
        </w:rPr>
        <w:t>Online agreement</w:t>
      </w:r>
      <w:r>
        <w:rPr>
          <w:rFonts w:hint="eastAsia" w:eastAsia="宋体"/>
          <w:i/>
          <w:iCs/>
          <w:sz w:val="20"/>
          <w:szCs w:val="20"/>
          <w:lang w:val="en-US" w:eastAsia="zh-CN"/>
        </w:rPr>
        <w:t xml:space="preserve"> from RAN4#114bis</w:t>
      </w:r>
      <w:r>
        <w:rPr>
          <w:i/>
          <w:iCs/>
          <w:sz w:val="20"/>
          <w:szCs w:val="20"/>
        </w:rPr>
        <w:t>:</w:t>
      </w:r>
    </w:p>
    <w:p w14:paraId="687447D9">
      <w:pPr>
        <w:keepNext w:val="0"/>
        <w:keepLines w:val="0"/>
        <w:pageBreakBefore w:val="0"/>
        <w:widowControl/>
        <w:numPr>
          <w:ilvl w:val="1"/>
          <w:numId w:val="5"/>
        </w:numPr>
        <w:kinsoku/>
        <w:wordWrap/>
        <w:overflowPunct/>
        <w:topLinePunct w:val="0"/>
        <w:autoSpaceDE/>
        <w:autoSpaceDN/>
        <w:bidi w:val="0"/>
        <w:adjustRightInd/>
        <w:snapToGrid/>
        <w:spacing w:before="60" w:after="60"/>
        <w:ind w:left="794" w:leftChars="213" w:hanging="283"/>
        <w:textAlignment w:val="auto"/>
        <w:rPr>
          <w:i/>
          <w:iCs/>
          <w:sz w:val="20"/>
          <w:szCs w:val="20"/>
        </w:rPr>
      </w:pPr>
      <w:r>
        <w:rPr>
          <w:i/>
          <w:iCs/>
          <w:sz w:val="20"/>
          <w:szCs w:val="20"/>
        </w:rPr>
        <w:t>Follow the LTE approach – Only specifies that HomNet requirements are not applicable for Local Area BS.</w:t>
      </w:r>
    </w:p>
    <w:p w14:paraId="4FF532A9">
      <w:pPr>
        <w:pStyle w:val="74"/>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i/>
          <w:iCs/>
          <w:sz w:val="20"/>
          <w:szCs w:val="20"/>
        </w:rPr>
      </w:pPr>
      <w:r>
        <w:rPr>
          <w:i/>
          <w:iCs/>
          <w:sz w:val="20"/>
          <w:szCs w:val="20"/>
        </w:rPr>
        <w:t xml:space="preserve">FFS whether to </w:t>
      </w:r>
      <w:r>
        <w:rPr>
          <w:i/>
          <w:iCs/>
          <w:sz w:val="20"/>
          <w:szCs w:val="20"/>
          <w:lang w:eastAsia="zh-CN"/>
        </w:rPr>
        <w:t>consider</w:t>
      </w:r>
      <w:r>
        <w:rPr>
          <w:i/>
          <w:iCs/>
          <w:sz w:val="20"/>
          <w:szCs w:val="20"/>
        </w:rPr>
        <w:t xml:space="preserve"> additional applicability rule on how the test is performed:</w:t>
      </w:r>
    </w:p>
    <w:p w14:paraId="0CA56DA4">
      <w:pPr>
        <w:pStyle w:val="74"/>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rPr>
      </w:pPr>
      <w:r>
        <w:rPr>
          <w:i/>
          <w:iCs/>
          <w:sz w:val="20"/>
          <w:szCs w:val="20"/>
        </w:rPr>
        <w:t>Option 1: If a BS declared to support Wide Area BS, Medium Range BS and pass the tests for HomNet, the test for HetNet can be skipped</w:t>
      </w:r>
    </w:p>
    <w:p w14:paraId="416BE3CD">
      <w:pPr>
        <w:pStyle w:val="74"/>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rPr>
      </w:pPr>
      <w:r>
        <w:rPr>
          <w:i/>
          <w:iCs/>
          <w:sz w:val="20"/>
          <w:szCs w:val="20"/>
        </w:rPr>
        <w:t>Option 2: Not to consider additional applicability rule on how the test is performed for different test scenarios or BS classes.</w:t>
      </w:r>
    </w:p>
    <w:bookmarkEnd w:id="6"/>
    <w:p w14:paraId="282AA7D0">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For Wide Area BS and Medium Range BS, it may be deployed in both HomNet and HetNet scenario, therefore, we don</w:t>
      </w:r>
      <w:r>
        <w:rPr>
          <w:rFonts w:hint="default"/>
          <w:sz w:val="20"/>
          <w:szCs w:val="20"/>
          <w:lang w:val="en-US" w:eastAsia="zh-CN"/>
        </w:rPr>
        <w:t>’</w:t>
      </w:r>
      <w:r>
        <w:rPr>
          <w:rFonts w:hint="eastAsia"/>
          <w:sz w:val="20"/>
          <w:szCs w:val="20"/>
          <w:lang w:val="en-US" w:eastAsia="zh-CN"/>
        </w:rPr>
        <w:t>t support to further consider additional test applicability rule.</w:t>
      </w:r>
    </w:p>
    <w:p w14:paraId="31A5393F">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default"/>
          <w:sz w:val="20"/>
          <w:szCs w:val="20"/>
          <w:lang w:val="en-US" w:eastAsia="zh-CN"/>
        </w:rPr>
      </w:pPr>
      <w:r>
        <w:rPr>
          <w:rFonts w:hint="eastAsia"/>
          <w:sz w:val="20"/>
          <w:szCs w:val="20"/>
          <w:lang w:val="en-US" w:eastAsia="zh-CN"/>
        </w:rPr>
        <w:t>Follow the LTE approach,</w:t>
      </w:r>
    </w:p>
    <w:p w14:paraId="2226DA11">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For Wide Area BS and Medium Range BS, both HomNet and HetNet requirements are applicable.</w:t>
      </w:r>
    </w:p>
    <w:p w14:paraId="2B317A8A">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eastAsia"/>
          <w:sz w:val="20"/>
          <w:szCs w:val="20"/>
          <w:lang w:val="en-US" w:eastAsia="zh-CN"/>
        </w:rPr>
      </w:pPr>
      <w:r>
        <w:rPr>
          <w:rFonts w:hint="eastAsia"/>
          <w:sz w:val="20"/>
          <w:szCs w:val="20"/>
          <w:lang w:val="en-US" w:eastAsia="zh-CN"/>
        </w:rPr>
        <w:t>For Local Area BS, only HetNet requirement is applicable.</w:t>
      </w:r>
    </w:p>
    <w:p w14:paraId="0FDE6D0D">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1: Not to consider additional applicability rule on how the test is performed for different test scenarios or BS classes.</w:t>
      </w:r>
    </w:p>
    <w:p w14:paraId="59FA9045">
      <w:pPr>
        <w:tabs>
          <w:tab w:val="left" w:pos="1134"/>
        </w:tabs>
        <w:spacing w:before="60"/>
        <w:jc w:val="both"/>
        <w:rPr>
          <w:rFonts w:hint="default" w:eastAsia="等线"/>
          <w:sz w:val="20"/>
          <w:szCs w:val="20"/>
          <w:lang w:val="en-US" w:eastAsia="zh-CN"/>
        </w:rPr>
      </w:pPr>
    </w:p>
    <w:bookmarkEnd w:id="7"/>
    <w:p w14:paraId="26AD9BED">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17EEB3C6">
      <w:pPr>
        <w:spacing w:before="60"/>
        <w:rPr>
          <w:sz w:val="20"/>
          <w:szCs w:val="20"/>
        </w:rPr>
      </w:pPr>
      <w:r>
        <w:rPr>
          <w:sz w:val="20"/>
          <w:szCs w:val="20"/>
        </w:rPr>
        <w:t xml:space="preserve">In this contribution, we </w:t>
      </w:r>
      <w:r>
        <w:rPr>
          <w:rFonts w:hint="eastAsia" w:eastAsia="宋体"/>
          <w:sz w:val="20"/>
          <w:szCs w:val="20"/>
          <w:lang w:val="en-US" w:eastAsia="zh-CN"/>
        </w:rPr>
        <w:t>provides our opinion about test applicability.</w:t>
      </w:r>
      <w:r>
        <w:rPr>
          <w:sz w:val="20"/>
          <w:szCs w:val="20"/>
        </w:rPr>
        <w:t xml:space="preserve"> The proposal</w:t>
      </w:r>
      <w:r>
        <w:rPr>
          <w:rFonts w:hint="eastAsia" w:eastAsia="宋体"/>
          <w:sz w:val="20"/>
          <w:szCs w:val="20"/>
          <w:lang w:val="en-US" w:eastAsia="zh-CN"/>
        </w:rPr>
        <w:t xml:space="preserve"> is</w:t>
      </w:r>
      <w:r>
        <w:rPr>
          <w:sz w:val="20"/>
          <w:szCs w:val="20"/>
        </w:rPr>
        <w:t>:</w:t>
      </w:r>
      <w:bookmarkEnd w:id="4"/>
      <w:bookmarkEnd w:id="5"/>
    </w:p>
    <w:p w14:paraId="63AA0036">
      <w:pPr>
        <w:keepNext w:val="0"/>
        <w:keepLines w:val="0"/>
        <w:pageBreakBefore w:val="0"/>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lang w:val="en-US" w:eastAsia="zh-CN"/>
        </w:rPr>
        <w:t>Proposal 1: Not to consider additional applicability rule on how the test is performed for different test scenarios or BS classes.</w:t>
      </w:r>
    </w:p>
    <w:p w14:paraId="3D3657DF">
      <w:pPr>
        <w:spacing w:before="60"/>
        <w:rPr>
          <w:sz w:val="20"/>
          <w:szCs w:val="20"/>
        </w:rPr>
      </w:pPr>
    </w:p>
    <w:p w14:paraId="2592FC98">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60AC7B4">
      <w:pPr>
        <w:rPr>
          <w:rFonts w:eastAsiaTheme="minorEastAsia"/>
          <w:sz w:val="20"/>
          <w:szCs w:val="20"/>
          <w:lang w:val="en-GB"/>
        </w:rPr>
      </w:pPr>
      <w:r>
        <w:rPr>
          <w:rFonts w:hint="eastAsia" w:eastAsiaTheme="minorEastAsia"/>
          <w:sz w:val="20"/>
          <w:szCs w:val="20"/>
          <w:lang w:val="en-GB"/>
        </w:rPr>
        <w:t>[</w:t>
      </w:r>
      <w:r>
        <w:rPr>
          <w:rFonts w:eastAsiaTheme="minorEastAsia"/>
          <w:sz w:val="20"/>
          <w:szCs w:val="20"/>
          <w:lang w:val="en-GB"/>
        </w:rPr>
        <w:t xml:space="preserve">1] </w:t>
      </w:r>
      <w:r>
        <w:rPr>
          <w:rFonts w:hint="eastAsia" w:eastAsiaTheme="minorEastAsia"/>
          <w:sz w:val="20"/>
          <w:szCs w:val="20"/>
          <w:lang w:val="en-GB"/>
        </w:rPr>
        <w:t>R4-250</w:t>
      </w:r>
      <w:r>
        <w:rPr>
          <w:rFonts w:hint="eastAsia" w:eastAsiaTheme="minorEastAsia"/>
          <w:sz w:val="20"/>
          <w:szCs w:val="20"/>
          <w:lang w:val="en-US" w:eastAsia="zh-CN"/>
        </w:rPr>
        <w:t>8618</w:t>
      </w:r>
      <w:r>
        <w:rPr>
          <w:rFonts w:eastAsiaTheme="minorEastAsia"/>
          <w:sz w:val="20"/>
          <w:szCs w:val="20"/>
          <w:lang w:val="en-GB"/>
        </w:rPr>
        <w:t xml:space="preserve">, </w:t>
      </w:r>
      <w:r>
        <w:rPr>
          <w:rFonts w:hint="eastAsia" w:eastAsiaTheme="minorEastAsia"/>
          <w:sz w:val="20"/>
          <w:szCs w:val="20"/>
          <w:lang w:val="en-GB"/>
        </w:rPr>
        <w:t>Way Forward for [115][322] NR_demod_Ph5_Part1_General_BS</w:t>
      </w:r>
      <w:r>
        <w:rPr>
          <w:rFonts w:hint="eastAsia" w:eastAsiaTheme="minorEastAsia"/>
          <w:sz w:val="20"/>
          <w:szCs w:val="20"/>
          <w:lang w:val="en-US" w:eastAsia="zh-CN"/>
        </w:rPr>
        <w:t xml:space="preserve">, </w:t>
      </w:r>
      <w:r>
        <w:rPr>
          <w:rFonts w:hint="eastAsia" w:eastAsiaTheme="minorEastAsia"/>
          <w:sz w:val="20"/>
          <w:szCs w:val="20"/>
          <w:lang w:val="en-GB"/>
        </w:rPr>
        <w:t>China Telecom</w:t>
      </w:r>
    </w:p>
    <w:p w14:paraId="4A8D1CB0">
      <w:pPr>
        <w:rPr>
          <w:rFonts w:eastAsiaTheme="minorEastAsia"/>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2EF0B8F"/>
    <w:multiLevelType w:val="multilevel"/>
    <w:tmpl w:val="72EF0B8F"/>
    <w:lvl w:ilvl="0" w:tentative="0">
      <w:start w:val="1"/>
      <w:numFmt w:val="bullet"/>
      <w:lvlText w:val=""/>
      <w:lvlJc w:val="left"/>
      <w:pPr>
        <w:ind w:left="2100" w:hanging="420"/>
      </w:pPr>
      <w:rPr>
        <w:rFonts w:hint="default" w:ascii="Wingdings" w:hAnsi="Wingdings"/>
      </w:rPr>
    </w:lvl>
    <w:lvl w:ilvl="1" w:tentative="0">
      <w:start w:val="1"/>
      <w:numFmt w:val="bullet"/>
      <w:lvlText w:val=""/>
      <w:lvlJc w:val="left"/>
      <w:pPr>
        <w:ind w:left="2520" w:hanging="420"/>
      </w:pPr>
      <w:rPr>
        <w:rFonts w:hint="default" w:ascii="Wingdings" w:hAnsi="Wingdings"/>
      </w:rPr>
    </w:lvl>
    <w:lvl w:ilvl="2" w:tentative="0">
      <w:start w:val="1"/>
      <w:numFmt w:val="bullet"/>
      <w:lvlText w:val=""/>
      <w:lvlJc w:val="left"/>
      <w:pPr>
        <w:ind w:left="2940" w:hanging="420"/>
      </w:pPr>
      <w:rPr>
        <w:rFonts w:hint="default" w:ascii="Wingdings" w:hAnsi="Wingdings"/>
      </w:rPr>
    </w:lvl>
    <w:lvl w:ilvl="3" w:tentative="0">
      <w:start w:val="1"/>
      <w:numFmt w:val="bullet"/>
      <w:lvlText w:val=""/>
      <w:lvlJc w:val="left"/>
      <w:pPr>
        <w:ind w:left="3360" w:hanging="420"/>
      </w:pPr>
      <w:rPr>
        <w:rFonts w:hint="default" w:ascii="Wingdings" w:hAnsi="Wingdings"/>
      </w:rPr>
    </w:lvl>
    <w:lvl w:ilvl="4" w:tentative="0">
      <w:start w:val="1"/>
      <w:numFmt w:val="bullet"/>
      <w:lvlText w:val=""/>
      <w:lvlJc w:val="left"/>
      <w:pPr>
        <w:ind w:left="3780" w:hanging="420"/>
      </w:pPr>
      <w:rPr>
        <w:rFonts w:hint="default" w:ascii="Wingdings" w:hAnsi="Wingdings"/>
      </w:rPr>
    </w:lvl>
    <w:lvl w:ilvl="5" w:tentative="0">
      <w:start w:val="1"/>
      <w:numFmt w:val="bullet"/>
      <w:lvlText w:val=""/>
      <w:lvlJc w:val="left"/>
      <w:pPr>
        <w:ind w:left="4200" w:hanging="420"/>
      </w:pPr>
      <w:rPr>
        <w:rFonts w:hint="default" w:ascii="Wingdings" w:hAnsi="Wingdings"/>
      </w:rPr>
    </w:lvl>
    <w:lvl w:ilvl="6" w:tentative="0">
      <w:start w:val="1"/>
      <w:numFmt w:val="bullet"/>
      <w:lvlText w:val=""/>
      <w:lvlJc w:val="left"/>
      <w:pPr>
        <w:ind w:left="4620" w:hanging="420"/>
      </w:pPr>
      <w:rPr>
        <w:rFonts w:hint="default" w:ascii="Wingdings" w:hAnsi="Wingdings"/>
      </w:rPr>
    </w:lvl>
    <w:lvl w:ilvl="7" w:tentative="0">
      <w:start w:val="1"/>
      <w:numFmt w:val="bullet"/>
      <w:lvlText w:val=""/>
      <w:lvlJc w:val="left"/>
      <w:pPr>
        <w:ind w:left="5040" w:hanging="420"/>
      </w:pPr>
      <w:rPr>
        <w:rFonts w:hint="default" w:ascii="Wingdings" w:hAnsi="Wingdings"/>
      </w:rPr>
    </w:lvl>
    <w:lvl w:ilvl="8" w:tentative="0">
      <w:start w:val="1"/>
      <w:numFmt w:val="bullet"/>
      <w:lvlText w:val=""/>
      <w:lvlJc w:val="left"/>
      <w:pPr>
        <w:ind w:left="5460" w:hanging="420"/>
      </w:pPr>
      <w:rPr>
        <w:rFonts w:hint="default" w:ascii="Wingdings" w:hAnsi="Wingdings"/>
      </w:rPr>
    </w:lvl>
  </w:abstractNum>
  <w:num w:numId="1">
    <w:abstractNumId w:val="5"/>
  </w:num>
  <w:num w:numId="2">
    <w:abstractNumId w:val="4"/>
  </w:num>
  <w:num w:numId="3">
    <w:abstractNumId w:val="0"/>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52B"/>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2180B5D"/>
    <w:rsid w:val="024C3B89"/>
    <w:rsid w:val="02D06333"/>
    <w:rsid w:val="03BD00D9"/>
    <w:rsid w:val="04B95A16"/>
    <w:rsid w:val="04BD7273"/>
    <w:rsid w:val="057247DA"/>
    <w:rsid w:val="0644568B"/>
    <w:rsid w:val="06DD48E1"/>
    <w:rsid w:val="07EA14B7"/>
    <w:rsid w:val="08DA059C"/>
    <w:rsid w:val="09183871"/>
    <w:rsid w:val="09353D90"/>
    <w:rsid w:val="0A2E783D"/>
    <w:rsid w:val="0B031BD3"/>
    <w:rsid w:val="0B5E1C21"/>
    <w:rsid w:val="0B8A52EF"/>
    <w:rsid w:val="0BC33094"/>
    <w:rsid w:val="0C0B2836"/>
    <w:rsid w:val="0CD07929"/>
    <w:rsid w:val="0E2A6E3A"/>
    <w:rsid w:val="0E3B3604"/>
    <w:rsid w:val="0E742A1E"/>
    <w:rsid w:val="0E805B23"/>
    <w:rsid w:val="0E9C1CE5"/>
    <w:rsid w:val="0EC114B0"/>
    <w:rsid w:val="11EC3624"/>
    <w:rsid w:val="11FE75BD"/>
    <w:rsid w:val="12100603"/>
    <w:rsid w:val="139117AD"/>
    <w:rsid w:val="143164E7"/>
    <w:rsid w:val="14912CB1"/>
    <w:rsid w:val="14DA3FBC"/>
    <w:rsid w:val="160675EB"/>
    <w:rsid w:val="161D3503"/>
    <w:rsid w:val="16383B80"/>
    <w:rsid w:val="16453965"/>
    <w:rsid w:val="16643DDA"/>
    <w:rsid w:val="1706234B"/>
    <w:rsid w:val="18663AF8"/>
    <w:rsid w:val="18761C3F"/>
    <w:rsid w:val="1892641E"/>
    <w:rsid w:val="18B91234"/>
    <w:rsid w:val="18C46E74"/>
    <w:rsid w:val="19911272"/>
    <w:rsid w:val="19A15BD8"/>
    <w:rsid w:val="19B41DED"/>
    <w:rsid w:val="19C064CE"/>
    <w:rsid w:val="19C20B7E"/>
    <w:rsid w:val="1A096918"/>
    <w:rsid w:val="1A2F1202"/>
    <w:rsid w:val="1C110610"/>
    <w:rsid w:val="1C277B2A"/>
    <w:rsid w:val="1C960747"/>
    <w:rsid w:val="1E1F78C6"/>
    <w:rsid w:val="1E5C4484"/>
    <w:rsid w:val="1FA76ADD"/>
    <w:rsid w:val="1FCA4D36"/>
    <w:rsid w:val="202A27D1"/>
    <w:rsid w:val="206A69BE"/>
    <w:rsid w:val="21316F3F"/>
    <w:rsid w:val="22072CF8"/>
    <w:rsid w:val="23460611"/>
    <w:rsid w:val="242A63A6"/>
    <w:rsid w:val="246A4318"/>
    <w:rsid w:val="24C811D2"/>
    <w:rsid w:val="24F611B1"/>
    <w:rsid w:val="26B36FEF"/>
    <w:rsid w:val="26E5752B"/>
    <w:rsid w:val="26F135E1"/>
    <w:rsid w:val="278F1C29"/>
    <w:rsid w:val="282F4A63"/>
    <w:rsid w:val="283574F8"/>
    <w:rsid w:val="29365FD7"/>
    <w:rsid w:val="2A532C63"/>
    <w:rsid w:val="2AB75B17"/>
    <w:rsid w:val="2AE553C9"/>
    <w:rsid w:val="2B6B7317"/>
    <w:rsid w:val="2C2172BD"/>
    <w:rsid w:val="2CF775D2"/>
    <w:rsid w:val="2DD33850"/>
    <w:rsid w:val="2F59072A"/>
    <w:rsid w:val="317E652A"/>
    <w:rsid w:val="32A970B0"/>
    <w:rsid w:val="32F26A43"/>
    <w:rsid w:val="330D2A50"/>
    <w:rsid w:val="33122AC2"/>
    <w:rsid w:val="33F42736"/>
    <w:rsid w:val="341D68C0"/>
    <w:rsid w:val="372F56E5"/>
    <w:rsid w:val="38772AB7"/>
    <w:rsid w:val="3A743073"/>
    <w:rsid w:val="3ABC1DC7"/>
    <w:rsid w:val="3C3C5D78"/>
    <w:rsid w:val="3C586312"/>
    <w:rsid w:val="3DAE75BE"/>
    <w:rsid w:val="3E7A51DE"/>
    <w:rsid w:val="3E96482D"/>
    <w:rsid w:val="3EE91110"/>
    <w:rsid w:val="4000742F"/>
    <w:rsid w:val="418F69C2"/>
    <w:rsid w:val="429546AA"/>
    <w:rsid w:val="42FF5BAC"/>
    <w:rsid w:val="43131FB5"/>
    <w:rsid w:val="45150359"/>
    <w:rsid w:val="460D1BD4"/>
    <w:rsid w:val="46C06704"/>
    <w:rsid w:val="490D6193"/>
    <w:rsid w:val="4AA160C5"/>
    <w:rsid w:val="4AAF53D6"/>
    <w:rsid w:val="4AFA2B52"/>
    <w:rsid w:val="4B5F04E3"/>
    <w:rsid w:val="4C827040"/>
    <w:rsid w:val="4D1D1BAB"/>
    <w:rsid w:val="4DA37337"/>
    <w:rsid w:val="4DCD4E08"/>
    <w:rsid w:val="4DD642A7"/>
    <w:rsid w:val="4E1420FE"/>
    <w:rsid w:val="4F3641C7"/>
    <w:rsid w:val="501228E1"/>
    <w:rsid w:val="504A4FDD"/>
    <w:rsid w:val="511C3E4C"/>
    <w:rsid w:val="523A383D"/>
    <w:rsid w:val="53E80837"/>
    <w:rsid w:val="53F83FD3"/>
    <w:rsid w:val="54CD03D4"/>
    <w:rsid w:val="55381968"/>
    <w:rsid w:val="55487CEC"/>
    <w:rsid w:val="558B6A30"/>
    <w:rsid w:val="559E607A"/>
    <w:rsid w:val="56781315"/>
    <w:rsid w:val="57F035F8"/>
    <w:rsid w:val="580B0311"/>
    <w:rsid w:val="584D0A2B"/>
    <w:rsid w:val="58556A81"/>
    <w:rsid w:val="590603D5"/>
    <w:rsid w:val="592D7A06"/>
    <w:rsid w:val="5AB96D2E"/>
    <w:rsid w:val="5B07207A"/>
    <w:rsid w:val="5B330B7A"/>
    <w:rsid w:val="5C257189"/>
    <w:rsid w:val="5D0166FE"/>
    <w:rsid w:val="5DEB6EA5"/>
    <w:rsid w:val="5E0C14B0"/>
    <w:rsid w:val="5E322F82"/>
    <w:rsid w:val="5E8D55AD"/>
    <w:rsid w:val="5F123686"/>
    <w:rsid w:val="608E444F"/>
    <w:rsid w:val="620A7660"/>
    <w:rsid w:val="630276C1"/>
    <w:rsid w:val="63132DF4"/>
    <w:rsid w:val="632C567F"/>
    <w:rsid w:val="63800833"/>
    <w:rsid w:val="644C37C0"/>
    <w:rsid w:val="64A84AC3"/>
    <w:rsid w:val="659A4242"/>
    <w:rsid w:val="65CA1897"/>
    <w:rsid w:val="667944E3"/>
    <w:rsid w:val="66C9707F"/>
    <w:rsid w:val="67D31308"/>
    <w:rsid w:val="68B34721"/>
    <w:rsid w:val="6A2853AA"/>
    <w:rsid w:val="6A675B29"/>
    <w:rsid w:val="6A8268BE"/>
    <w:rsid w:val="6AAC049F"/>
    <w:rsid w:val="6AEB6253"/>
    <w:rsid w:val="6AFD1062"/>
    <w:rsid w:val="6BF53BAD"/>
    <w:rsid w:val="6C5C2CD7"/>
    <w:rsid w:val="6C7B38DA"/>
    <w:rsid w:val="6E2814C7"/>
    <w:rsid w:val="714457BF"/>
    <w:rsid w:val="717D06BD"/>
    <w:rsid w:val="71882E8E"/>
    <w:rsid w:val="728B1D53"/>
    <w:rsid w:val="74D41FF8"/>
    <w:rsid w:val="74DE1908"/>
    <w:rsid w:val="75B92E5D"/>
    <w:rsid w:val="75C712D9"/>
    <w:rsid w:val="75F0158B"/>
    <w:rsid w:val="773F6C31"/>
    <w:rsid w:val="77DA1E49"/>
    <w:rsid w:val="7898291C"/>
    <w:rsid w:val="79355A99"/>
    <w:rsid w:val="798C7179"/>
    <w:rsid w:val="7A9A41EB"/>
    <w:rsid w:val="7B903AA1"/>
    <w:rsid w:val="7CAD001B"/>
    <w:rsid w:val="7D0D4989"/>
    <w:rsid w:val="7D86298E"/>
    <w:rsid w:val="7DFE2E40"/>
    <w:rsid w:val="7E411817"/>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2</Pages>
  <Words>2366</Words>
  <Characters>13491</Characters>
  <Lines>112</Lines>
  <Paragraphs>31</Paragraphs>
  <TotalTime>4</TotalTime>
  <ScaleCrop>false</ScaleCrop>
  <LinksUpToDate>false</LinksUpToDate>
  <CharactersWithSpaces>15826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2025-08-15T04:40:53Z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1B5FA489B6684E2C9426DDD8CDDDA00C</vt:lpwstr>
  </property>
</Properties>
</file>